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1701"/>
        <w:jc w:val="center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4097"/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1238885</wp:posOffset>
            </wp:positionH>
            <wp:positionV relativeFrom="paragraph">
              <wp:posOffset>119380</wp:posOffset>
            </wp:positionV>
            <wp:extent cx="2258695" cy="843915"/>
            <wp:effectExtent l="0" t="0" r="8255" b="0"/>
            <wp:wrapTight wrapText="bothSides">
              <wp:wrapPolygon edited="false">
                <wp:start x="2733" y="975"/>
                <wp:lineTo x="1093" y="3901"/>
                <wp:lineTo x="364" y="6339"/>
                <wp:lineTo x="364" y="15603"/>
                <wp:lineTo x="911" y="17553"/>
                <wp:lineTo x="2368" y="17553"/>
                <wp:lineTo x="2915" y="19503"/>
                <wp:lineTo x="3826" y="19503"/>
                <wp:lineTo x="4372" y="17553"/>
                <wp:lineTo x="21497" y="17553"/>
                <wp:lineTo x="21497" y="13165"/>
                <wp:lineTo x="17307" y="9752"/>
                <wp:lineTo x="20586" y="7314"/>
                <wp:lineTo x="19675" y="3413"/>
                <wp:lineTo x="3826" y="975"/>
                <wp:lineTo x="2733" y="975"/>
              </wp:wrapPolygon>
            </wp:wrapTight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2258695" cy="84391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 w:eastAsia="ru-RU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noProof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cs="Calibri"/>
          <w:noProof/>
          <w:lang w:val="en-US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__________________ viloyati _______________ </w:t>
      </w:r>
      <w:r>
        <w:rPr>
          <w:rFonts w:ascii="Times New Roman" w:hAnsi="Times New Roman"/>
          <w:sz w:val="32"/>
          <w:szCs w:val="32"/>
          <w:lang w:val="uz-Latn-UZ"/>
        </w:rPr>
        <w:t>shahar/</w:t>
      </w:r>
      <w:r>
        <w:rPr>
          <w:rFonts w:ascii="Times New Roman" w:hAnsi="Times New Roman"/>
          <w:sz w:val="32"/>
          <w:szCs w:val="32"/>
          <w:lang w:val="uz-Latn-UZ"/>
        </w:rPr>
        <w:t xml:space="preserve">tumani </w:t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___________-maktabning </w:t>
      </w:r>
      <w:r>
        <w:rPr>
          <w:rFonts w:ascii="Times New Roman" w:hAnsi="Times New Roman"/>
          <w:sz w:val="32"/>
          <w:szCs w:val="32"/>
          <w:lang w:val="en-US"/>
        </w:rPr>
        <w:t>____</w:t>
      </w:r>
      <w:r>
        <w:rPr>
          <w:rFonts w:ascii="Times New Roman" w:hAnsi="Times New Roman"/>
          <w:sz w:val="32"/>
          <w:szCs w:val="32"/>
          <w:lang w:val="uz-Latn-UZ"/>
        </w:rPr>
        <w:t>-sinf o‘quvchisi _______________________________________ning</w:t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z-Latn-UZ"/>
        </w:rPr>
      </w:pPr>
      <w:r>
        <w:rPr>
          <w:rFonts w:ascii="Times New Roman" w:cs="Times New Roman" w:hAnsi="Times New Roman"/>
          <w:b/>
          <w:sz w:val="28"/>
          <w:szCs w:val="28"/>
          <w:lang w:val="uz-Latn-UZ"/>
        </w:rPr>
        <w:t xml:space="preserve">11-sinf bitiruvchilariga 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kimyo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 xml:space="preserve"> fanidan 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 xml:space="preserve">akuniy davlat attestatsiyasi uchun tuzilgan savol-topshiriqlar 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z-Latn-UZ"/>
        </w:rPr>
      </w:pPr>
      <w:r>
        <w:rPr>
          <w:rFonts w:ascii="Times New Roman" w:cs="Times New Roman" w:hAnsi="Times New Roman"/>
          <w:b/>
          <w:sz w:val="28"/>
          <w:szCs w:val="28"/>
          <w:lang w:val="uz-Latn-UZ"/>
        </w:rPr>
        <w:t>7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-Variant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orasidan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3,01∙10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>23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ta </w:t>
      </w:r>
      <w:r>
        <w:rPr>
          <w:rFonts w:ascii="Times New Roman" w:cs="Times New Roman" w:hAnsi="Times New Roman"/>
          <w:sz w:val="28"/>
          <w:szCs w:val="28"/>
          <w:lang w:val="en-US"/>
        </w:rPr>
        <w:t>molekula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(A)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atom(B) </w:t>
      </w:r>
      <w:r>
        <w:rPr>
          <w:rFonts w:ascii="Times New Roman" w:cs="Times New Roman" w:hAnsi="Times New Roman"/>
          <w:sz w:val="28"/>
          <w:szCs w:val="28"/>
          <w:lang w:val="en-US"/>
        </w:rPr>
        <w:t>saqlaganlar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W w:w="7881" w:type="dxa"/>
        <w:jc w:val="center"/>
        <w:tblLook w:val="04A0" w:firstRow="1" w:lastRow="0" w:firstColumn="1" w:lastColumn="0" w:noHBand="0" w:noVBand="1"/>
      </w:tblPr>
      <w:tblGrid>
        <w:gridCol w:w="2627"/>
        <w:gridCol w:w="2627"/>
        <w:gridCol w:w="2627"/>
      </w:tblGrid>
      <w:tr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1.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14g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CaO 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3.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10g SO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10g CaCO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>
        <w:tblPrEx/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2.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11,2 l(n.sh.) N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31g H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. 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 N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O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page" w:tblpX="3211" w:tblpY="238"/>
        <w:tblW w:w="0" w:type="auto"/>
        <w:tblLook w:val="04A0" w:firstRow="1" w:lastRow="0" w:firstColumn="1" w:lastColumn="0" w:noHBand="0" w:noVBand="1"/>
      </w:tblPr>
      <w:tblGrid>
        <w:gridCol w:w="1264"/>
        <w:gridCol w:w="2528"/>
      </w:tblGrid>
      <w:tr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3792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color w:val="000000"/>
          <w:sz w:val="28"/>
          <w:szCs w:val="24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color w:val="000000"/>
          <w:sz w:val="28"/>
          <w:szCs w:val="24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4"/>
          <w:lang w:val="en-US"/>
        </w:rPr>
        <w:t>2</w:t>
      </w: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4"/>
          <w:lang w:val="en-US"/>
        </w:rPr>
        <w:t>.</w:t>
      </w: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X</w:t>
      </w:r>
      <w:r>
        <w:rPr>
          <w:rFonts w:ascii="Times New Roman" w:cs="Times New Roman" w:eastAsia="Times New Roman" w:hAnsi="Times New Roman"/>
          <w:iCs/>
          <w:sz w:val="28"/>
          <w:szCs w:val="24"/>
          <w:vertAlign w:val="superscript"/>
          <w:lang w:val="en-US"/>
        </w:rPr>
        <w:t>n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ioni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tarkibidagi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oxirgi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elektron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uchun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kvant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sonlar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 n =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3,  </w:t>
      </w:r>
      <w:r>
        <w:rPr>
          <w:rFonts w:ascii="Times New Roman" w:cs="Times New Roman" w:eastAsia="Times New Roman" w:hAnsi="Times New Roman"/>
          <w:i/>
          <w:iCs/>
          <w:sz w:val="28"/>
          <w:szCs w:val="24"/>
          <w:lang w:val="en-US"/>
        </w:rPr>
        <w:t>l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=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1,  m</w:t>
      </w:r>
      <w:r>
        <w:rPr>
          <w:rFonts w:ascii="Times New Roman" w:cs="Times New Roman" w:eastAsia="Times New Roman" w:hAnsi="Times New Roman"/>
          <w:iCs/>
          <w:sz w:val="28"/>
          <w:szCs w:val="24"/>
          <w:vertAlign w:val="subscript"/>
          <w:lang w:val="en-US"/>
        </w:rPr>
        <w:t>1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= +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1,  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     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m</w:t>
      </w:r>
      <w:r>
        <w:rPr>
          <w:rFonts w:ascii="Times New Roman" w:cs="Times New Roman" w:eastAsia="Times New Roman" w:hAnsi="Times New Roman"/>
          <w:iCs/>
          <w:sz w:val="28"/>
          <w:szCs w:val="24"/>
          <w:vertAlign w:val="subscript"/>
          <w:lang w:val="en-US"/>
        </w:rPr>
        <w:t>s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= –0,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5 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teng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.  X element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davriy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jadvalning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II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guruhida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joylashgan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bo‘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lsa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, X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elementining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proton 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>sonini</w:t>
      </w:r>
      <w:r>
        <w:rPr>
          <w:rFonts w:ascii="Times New Roman" w:cs="Times New Roman" w:eastAsia="Times New Roman" w:hAnsi="Times New Roman"/>
          <w:iCs/>
          <w:sz w:val="28"/>
          <w:szCs w:val="24"/>
          <w:lang w:val="en-US"/>
        </w:rPr>
        <w:t xml:space="preserve"> toping.</w:t>
      </w: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 – C – N – O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qator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yicha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ifodalar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to‘g‘</w:t>
      </w:r>
      <w:r>
        <w:rPr>
          <w:rFonts w:ascii="Times New Roman" w:cs="Times New Roman" w:hAnsi="Times New Roman"/>
          <w:sz w:val="28"/>
          <w:szCs w:val="28"/>
          <w:u w:val="single"/>
          <w:lang w:val="en-US"/>
        </w:rPr>
        <w:t>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ekanligini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cs="Times New Roman" w:hAnsi="Times New Roman"/>
          <w:sz w:val="28"/>
          <w:szCs w:val="28"/>
          <w:lang w:val="en-US"/>
        </w:rPr>
        <w:t>nisbiy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elektromanfiylik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qiymati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boradi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cs="Times New Roman" w:hAnsi="Times New Roman"/>
          <w:sz w:val="28"/>
          <w:szCs w:val="28"/>
          <w:lang w:val="en-US"/>
        </w:rPr>
        <w:t>oksidlovchilik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kamayib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boradi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3) valent </w:t>
      </w:r>
      <w:r>
        <w:rPr>
          <w:rFonts w:ascii="Times New Roman" w:cs="Times New Roman" w:hAnsi="Times New Roman"/>
          <w:sz w:val="28"/>
          <w:szCs w:val="28"/>
          <w:lang w:val="en-US"/>
        </w:rPr>
        <w:t>elektronlar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boradi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4) </w:t>
      </w:r>
      <w:r>
        <w:rPr>
          <w:rFonts w:ascii="Times New Roman" w:cs="Times New Roman" w:hAnsi="Times New Roman"/>
          <w:sz w:val="28"/>
          <w:szCs w:val="28"/>
          <w:lang w:val="en-US"/>
        </w:rPr>
        <w:t>metallmaslik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kamayib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boradi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5) </w:t>
      </w:r>
      <w:r>
        <w:rPr>
          <w:rFonts w:ascii="Times New Roman" w:cs="Times New Roman" w:hAnsi="Times New Roman"/>
          <w:sz w:val="28"/>
          <w:szCs w:val="28"/>
          <w:lang w:val="en-US"/>
        </w:rPr>
        <w:t>elektronga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moyillik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energiyasi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qoladi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Sistema </w:t>
      </w:r>
      <w:r>
        <w:rPr>
          <w:rFonts w:ascii="Times New Roman" w:cs="Times New Roman" w:hAnsi="Times New Roman"/>
          <w:sz w:val="28"/>
          <w:szCs w:val="28"/>
          <w:lang w:val="en-US"/>
        </w:rPr>
        <w:t>hajmi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 </w:t>
      </w:r>
      <w:r>
        <w:rPr>
          <w:rFonts w:ascii="Times New Roman" w:cs="Times New Roman" w:hAnsi="Times New Roman"/>
          <w:sz w:val="28"/>
          <w:szCs w:val="28"/>
          <w:lang w:val="en-US"/>
        </w:rPr>
        <w:t>marta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oshirilib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tempratura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4 </w:t>
      </w:r>
      <w:r>
        <w:rPr>
          <w:rFonts w:ascii="Times New Roman" w:cs="Times New Roman" w:hAnsi="Times New Roman"/>
          <w:sz w:val="28"/>
          <w:szCs w:val="28"/>
          <w:lang w:val="en-US"/>
        </w:rPr>
        <w:t>marta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oshirildi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Idishdagi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bosim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sz w:val="28"/>
          <w:szCs w:val="28"/>
          <w:lang w:val="en-US"/>
        </w:rPr>
        <w:t>‘zgaradi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? </w:t>
      </w: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>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haroratda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KOH </w:t>
      </w:r>
      <w:r>
        <w:rPr>
          <w:rFonts w:ascii="Times New Roman" w:cs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eruvchanlik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koeffitsiyenti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11,2 ga </w:t>
      </w:r>
      <w:r>
        <w:rPr>
          <w:rFonts w:ascii="Times New Roman" w:cs="Times New Roman" w:hAnsi="Times New Roman"/>
          <w:sz w:val="28"/>
          <w:szCs w:val="28"/>
          <w:lang w:val="en-US"/>
        </w:rPr>
        <w:t>teng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haroratda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ishqorning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molyal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Molyal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1kg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miqdorini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rsatadi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6. </w:t>
      </w:r>
      <w:r>
        <w:rPr>
          <w:rFonts w:ascii="Times New Roman" w:cs="Times New Roman" w:hAnsi="Times New Roman"/>
          <w:sz w:val="28"/>
          <w:szCs w:val="28"/>
          <w:lang w:val="en-US"/>
        </w:rPr>
        <w:t>Tarkibida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60∙N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 xml:space="preserve">A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ta </w:t>
      </w:r>
      <w:r>
        <w:rPr>
          <w:rFonts w:ascii="Times New Roman" w:cs="Times New Roman" w:hAnsi="Times New Roman"/>
          <w:sz w:val="28"/>
          <w:szCs w:val="28"/>
          <w:lang w:val="en-US"/>
        </w:rPr>
        <w:t>molekula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saqlagan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Ca(</w:t>
      </w:r>
      <w:r>
        <w:rPr>
          <w:rFonts w:ascii="Times New Roman" w:cs="Times New Roman" w:hAnsi="Times New Roman"/>
          <w:sz w:val="28"/>
          <w:szCs w:val="28"/>
          <w:lang w:val="en-US"/>
        </w:rPr>
        <w:t>NO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dissotsiatsiyalanishidan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92∙N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 xml:space="preserve">A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ta </w:t>
      </w:r>
      <w:r>
        <w:rPr>
          <w:rFonts w:ascii="Times New Roman" w:cs="Times New Roman" w:hAnsi="Times New Roman"/>
          <w:sz w:val="28"/>
          <w:szCs w:val="28"/>
          <w:lang w:val="en-US"/>
        </w:rPr>
        <w:t>zarracha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(α=80%).  </w:t>
      </w:r>
      <w:r>
        <w:rPr>
          <w:rFonts w:ascii="Times New Roman" w:cs="Times New Roman" w:hAnsi="Times New Roman"/>
          <w:sz w:val="28"/>
          <w:szCs w:val="28"/>
          <w:lang w:val="en-US"/>
        </w:rPr>
        <w:t>Eritmaning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both"/>
        <w:rPr>
          <w:rFonts w:ascii="Times New Roman" w:cs="Calibri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>Yechish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5382"/>
      </w:tblGrid>
      <w:tr>
        <w:trPr>
          <w:trHeight w:val="526" w:hRule="atLeast"/>
        </w:trPr>
        <w:tc>
          <w:tcPr>
            <w:tcW w:w="53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7.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Quyidagi </w:t>
      </w:r>
      <w:r>
        <w:rPr>
          <w:rFonts w:ascii="Times New Roman" w:cs="Times New Roman" w:hAnsi="Times New Roman"/>
          <w:sz w:val="28"/>
          <w:szCs w:val="28"/>
          <w:lang w:val="en-US"/>
        </w:rPr>
        <w:t>moddalarning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gidroliz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muhitni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W w:w="9480" w:type="dxa"/>
        <w:tblLook w:val="04A0" w:firstRow="1" w:lastRow="0" w:firstColumn="1" w:lastColumn="0" w:noHBand="0" w:noVBand="1"/>
      </w:tblPr>
      <w:tblGrid>
        <w:gridCol w:w="3455"/>
        <w:gridCol w:w="3455"/>
        <w:gridCol w:w="2570"/>
      </w:tblGrid>
      <w:tr>
        <w:trPr>
          <w:trHeight w:val="1108" w:hRule="atLeast"/>
        </w:trPr>
        <w:tc>
          <w:tcPr>
            <w:tcW w:w="34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Faqat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kation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yicha</w:t>
            </w:r>
          </w:p>
        </w:tc>
        <w:tc>
          <w:tcPr>
            <w:tcW w:w="2570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I)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Kislotali</w:t>
            </w:r>
          </w:p>
        </w:tc>
      </w:tr>
      <w:tr>
        <w:tblPrEx/>
        <w:trPr>
          <w:trHeight w:val="1108" w:hRule="atLeast"/>
        </w:trPr>
        <w:tc>
          <w:tcPr>
            <w:tcW w:w="34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B.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Fe(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Faqat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anion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yicha</w:t>
            </w:r>
          </w:p>
        </w:tc>
        <w:tc>
          <w:tcPr>
            <w:tcW w:w="2570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II)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Neytral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nisbiy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>
        <w:tblPrEx/>
        <w:trPr>
          <w:trHeight w:val="1108" w:hRule="atLeast"/>
        </w:trPr>
        <w:tc>
          <w:tcPr>
            <w:tcW w:w="34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(SO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3. Ham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kation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, ham anion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yicha</w:t>
            </w:r>
          </w:p>
        </w:tc>
        <w:tc>
          <w:tcPr>
            <w:tcW w:w="2570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III)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Ishqoriy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harflar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</w:tblGrid>
      <w:tr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/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379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8. 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(g)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B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(g)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↔ C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(g)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D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(g)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muvozanatda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sistemada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9; 1; 6; 6 mol/l. </w:t>
      </w:r>
      <w:r>
        <w:rPr>
          <w:rFonts w:ascii="Times New Roman" w:cs="Times New Roman" w:hAnsi="Times New Roman"/>
          <w:sz w:val="28"/>
          <w:szCs w:val="28"/>
          <w:lang w:val="en-US"/>
        </w:rPr>
        <w:t>Sistemaga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 </w:t>
      </w:r>
      <w:r>
        <w:rPr>
          <w:rFonts w:ascii="Times New Roman" w:cs="Times New Roman" w:hAnsi="Times New Roman"/>
          <w:sz w:val="28"/>
          <w:szCs w:val="28"/>
          <w:lang w:val="en-US"/>
        </w:rPr>
        <w:t>moddadan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8 mol/l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shilganda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muvozanat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holatidagi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sistemadagi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 </w:t>
      </w:r>
      <w:r>
        <w:rPr>
          <w:rFonts w:ascii="Times New Roman" w:cs="Times New Roman" w:hAnsi="Times New Roman"/>
          <w:sz w:val="28"/>
          <w:szCs w:val="28"/>
          <w:lang w:val="en-US"/>
        </w:rPr>
        <w:t>moddaning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konsentratsiyasini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9.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oksidlanish-qaytarilish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reaksiyasida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0,1 mol </w:t>
      </w:r>
      <w:r>
        <w:rPr>
          <w:rFonts w:ascii="Times New Roman" w:cs="Times New Roman" w:hAnsi="Times New Roman"/>
          <w:sz w:val="28"/>
          <w:szCs w:val="28"/>
          <w:lang w:val="en-US"/>
        </w:rPr>
        <w:t>kaliy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xromat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sarflangan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oksidlovchi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miqdorini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(mol) toping. </w:t>
      </w:r>
    </w:p>
    <w:p>
      <w:pPr>
        <w:pStyle w:val="style179"/>
        <w:spacing w:after="0" w:lineRule="auto" w:line="24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179"/>
        <w:spacing w:after="0" w:lineRule="auto" w:line="24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KOH → 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KCl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>
      <w:pPr>
        <w:pStyle w:val="style179"/>
        <w:spacing w:after="0" w:lineRule="auto" w:line="24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10.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100 </w:t>
      </w:r>
      <w:r>
        <w:rPr>
          <w:rFonts w:ascii="Times New Roman" w:cs="Times New Roman" w:hAnsi="Times New Roman"/>
          <w:sz w:val="28"/>
          <w:szCs w:val="28"/>
          <w:lang w:val="en-GB"/>
        </w:rPr>
        <w:t>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23,4% </w:t>
      </w:r>
      <w:r>
        <w:rPr>
          <w:rFonts w:ascii="Times New Roman" w:cs="Times New Roman" w:hAnsi="Times New Roman"/>
          <w:sz w:val="28"/>
          <w:szCs w:val="28"/>
          <w:lang w:val="en-GB"/>
        </w:rPr>
        <w:t>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natriy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xlorid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eritmasi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elektroliz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qilinganda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2,24 </w:t>
      </w:r>
      <w:r>
        <w:rPr>
          <w:rFonts w:ascii="Times New Roman" w:cs="Times New Roman" w:hAnsi="Times New Roman"/>
          <w:sz w:val="28"/>
          <w:szCs w:val="28"/>
          <w:lang w:val="en-GB"/>
        </w:rPr>
        <w:t>litr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GB"/>
        </w:rPr>
        <w:t>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GB"/>
        </w:rPr>
        <w:t>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.) </w:t>
      </w:r>
      <w:r>
        <w:rPr>
          <w:rFonts w:ascii="Times New Roman" w:cs="Times New Roman" w:hAnsi="Times New Roman"/>
          <w:sz w:val="28"/>
          <w:szCs w:val="28"/>
          <w:lang w:val="en-GB"/>
        </w:rPr>
        <w:t>gaz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ajraldi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Hosil </w:t>
      </w:r>
      <w:r>
        <w:rPr>
          <w:rFonts w:ascii="Times New Roman" w:cs="Times New Roman" w:hAnsi="Times New Roman"/>
          <w:sz w:val="28"/>
          <w:szCs w:val="28"/>
          <w:lang w:val="en-GB"/>
        </w:rPr>
        <w:t>bo‘</w:t>
      </w:r>
      <w:r>
        <w:rPr>
          <w:rFonts w:ascii="Times New Roman" w:cs="Times New Roman" w:hAnsi="Times New Roman"/>
          <w:sz w:val="28"/>
          <w:szCs w:val="28"/>
          <w:lang w:val="en-GB"/>
        </w:rPr>
        <w:t>lgan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eritmada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aluminiy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eritilganda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necha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litr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(n.sh.) </w:t>
      </w:r>
      <w:r>
        <w:rPr>
          <w:rFonts w:ascii="Times New Roman" w:cs="Times New Roman" w:hAnsi="Times New Roman"/>
          <w:sz w:val="28"/>
          <w:szCs w:val="28"/>
          <w:lang w:val="en-GB"/>
        </w:rPr>
        <w:t>gaz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ajraladi</w:t>
      </w:r>
      <w:r>
        <w:rPr>
          <w:rFonts w:ascii="Times New Roman" w:cs="Times New Roman" w:hAnsi="Times New Roman"/>
          <w:sz w:val="28"/>
          <w:szCs w:val="28"/>
          <w:lang w:val="en-GB"/>
        </w:rPr>
        <w:t>?</w:t>
      </w:r>
    </w:p>
    <w:p>
      <w:pPr>
        <w:pStyle w:val="style0"/>
        <w:spacing w:after="0" w:lineRule="auto" w:line="240"/>
        <w:ind w:left="567"/>
        <w:jc w:val="both"/>
        <w:rPr>
          <w:rFonts w:ascii="Times New Roman" w:hAnsi="Times New Roman"/>
          <w:sz w:val="28"/>
          <w:szCs w:val="28"/>
          <w:lang w:val="en-GB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en-US"/>
        </w:rPr>
        <w:t>Yechish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style154"/>
        <w:tblpPr w:leftFromText="180" w:rightFromText="180" w:topFromText="0" w:bottomFromText="0" w:vertAnchor="text" w:horzAnchor="margin" w:tblpXSpec="left" w:tblpY="339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jc w:val="both"/>
        <w:rPr>
          <w:rFonts w:ascii="Times New Roman" w:cs="Calibri" w:hAnsi="Times New Roman"/>
          <w:sz w:val="28"/>
          <w:szCs w:val="28"/>
          <w:lang w:val="en-GB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11.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 mol </w:t>
      </w:r>
      <w:r>
        <w:rPr>
          <w:rFonts w:ascii="Times New Roman" w:cs="Times New Roman" w:hAnsi="Times New Roman"/>
          <w:sz w:val="28"/>
          <w:szCs w:val="28"/>
          <w:lang w:val="en-US"/>
        </w:rPr>
        <w:t>dimetiletilizobutilmetan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molekulasidagi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qutbsiz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kovalent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bog‘lar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sonini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12. </w:t>
      </w:r>
      <w:r>
        <w:rPr>
          <w:rFonts w:ascii="Times New Roman" w:hAnsi="Times New Roman"/>
          <w:sz w:val="28"/>
          <w:szCs w:val="28"/>
          <w:lang w:val="uz-Latn-UZ"/>
        </w:rPr>
        <w:t xml:space="preserve">Propin va etandan iborat 50 ml aralashma </w:t>
      </w:r>
      <w:r>
        <w:rPr>
          <w:rFonts w:ascii="Times New Roman" w:hAnsi="Times New Roman"/>
          <w:sz w:val="28"/>
          <w:szCs w:val="28"/>
          <w:lang w:val="uz-Latn-UZ"/>
        </w:rPr>
        <w:t>to‘</w:t>
      </w:r>
      <w:r>
        <w:rPr>
          <w:rFonts w:ascii="Times New Roman" w:hAnsi="Times New Roman"/>
          <w:sz w:val="28"/>
          <w:szCs w:val="28"/>
          <w:lang w:val="uz-Latn-UZ"/>
        </w:rPr>
        <w:t>liq yondirilganda 120 ml karbonat angidrid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 xml:space="preserve">hosil </w:t>
      </w:r>
      <w:r>
        <w:rPr>
          <w:rFonts w:ascii="Times New Roman" w:hAnsi="Times New Roman"/>
          <w:sz w:val="28"/>
          <w:szCs w:val="28"/>
          <w:lang w:val="uz-Latn-UZ"/>
        </w:rPr>
        <w:t>bo‘</w:t>
      </w:r>
      <w:r>
        <w:rPr>
          <w:rFonts w:ascii="Times New Roman" w:hAnsi="Times New Roman"/>
          <w:sz w:val="28"/>
          <w:szCs w:val="28"/>
          <w:lang w:val="uz-Latn-UZ"/>
        </w:rPr>
        <w:t>lsa, aralashmadagi propining hajmiy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ulushini (%) aniqlang.</w:t>
      </w:r>
    </w:p>
    <w:p>
      <w:pPr>
        <w:pStyle w:val="style0"/>
        <w:spacing w:before="240" w:after="0" w:lineRule="auto" w:line="240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spacing w:before="240" w:after="0" w:lineRule="auto" w:line="240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567" w:hanging="567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567" w:hanging="567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tabs>
          <w:tab w:val="left" w:leader="none" w:pos="10192"/>
          <w:tab w:val="left" w:leader="none" w:pos="11603"/>
          <w:tab w:val="left" w:leader="none" w:pos="12734"/>
          <w:tab w:val="left" w:leader="none" w:pos="1400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13.  </w:t>
      </w:r>
      <w:r>
        <w:rPr>
          <w:rFonts w:ascii="Times New Roman" w:hAnsi="Times New Roman"/>
          <w:sz w:val="28"/>
          <w:szCs w:val="28"/>
          <w:lang w:val="en-US"/>
        </w:rPr>
        <w:t>To‘</w:t>
      </w:r>
      <w:r>
        <w:rPr>
          <w:rFonts w:ascii="Times New Roman" w:hAnsi="Times New Roman"/>
          <w:sz w:val="28"/>
          <w:szCs w:val="28"/>
          <w:lang w:val="en-US"/>
        </w:rPr>
        <w:t>yingan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atomli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spirtning</w:t>
      </w:r>
      <w:r>
        <w:rPr>
          <w:rFonts w:ascii="Times New Roman" w:hAnsi="Times New Roman"/>
          <w:sz w:val="28"/>
          <w:szCs w:val="28"/>
          <w:lang w:val="en-US"/>
        </w:rPr>
        <w:t xml:space="preserve"> 18,4 g </w:t>
      </w:r>
      <w:r>
        <w:rPr>
          <w:rFonts w:ascii="Times New Roman" w:hAnsi="Times New Roman"/>
          <w:sz w:val="28"/>
          <w:szCs w:val="28"/>
          <w:lang w:val="en-US"/>
        </w:rPr>
        <w:t>miqdori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ichki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molekulyar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degidratlanishidan</w:t>
      </w:r>
      <w:r>
        <w:rPr>
          <w:rFonts w:ascii="Times New Roman" w:hAnsi="Times New Roman"/>
          <w:sz w:val="28"/>
          <w:szCs w:val="28"/>
          <w:lang w:val="en-US"/>
        </w:rPr>
        <w:t xml:space="preserve"> 7,2g </w:t>
      </w:r>
      <w:r>
        <w:rPr>
          <w:rFonts w:ascii="Times New Roman" w:hAnsi="Times New Roman"/>
          <w:sz w:val="28"/>
          <w:szCs w:val="28"/>
          <w:lang w:val="en-US"/>
        </w:rPr>
        <w:t>suv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hosil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bo‘</w:t>
      </w:r>
      <w:r>
        <w:rPr>
          <w:rFonts w:ascii="Times New Roman" w:hAnsi="Times New Roman"/>
          <w:sz w:val="28"/>
          <w:szCs w:val="28"/>
          <w:lang w:val="en-US"/>
        </w:rPr>
        <w:t>ldi</w:t>
      </w:r>
      <w:r>
        <w:rPr>
          <w:rFonts w:ascii="Times New Roman" w:hAnsi="Times New Roman"/>
          <w:sz w:val="28"/>
          <w:szCs w:val="28"/>
          <w:lang w:val="en-US"/>
        </w:rPr>
        <w:t xml:space="preserve">. Hosil </w:t>
      </w:r>
      <w:r>
        <w:rPr>
          <w:rFonts w:ascii="Times New Roman" w:hAnsi="Times New Roman"/>
          <w:sz w:val="28"/>
          <w:szCs w:val="28"/>
          <w:lang w:val="en-US"/>
        </w:rPr>
        <w:t>bo‘</w:t>
      </w:r>
      <w:r>
        <w:rPr>
          <w:rFonts w:ascii="Times New Roman" w:hAnsi="Times New Roman"/>
          <w:sz w:val="28"/>
          <w:szCs w:val="28"/>
          <w:lang w:val="en-US"/>
        </w:rPr>
        <w:t>lgan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organik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birikmaning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formulasini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yozing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>Noma’lum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aldegidning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8,8g </w:t>
      </w:r>
      <w:r>
        <w:rPr>
          <w:rFonts w:ascii="Times New Roman" w:cs="Times New Roman" w:hAnsi="Times New Roman"/>
          <w:sz w:val="28"/>
          <w:szCs w:val="28"/>
          <w:lang w:val="en-US"/>
        </w:rPr>
        <w:t>miqdori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yordamida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qaytarildi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Olingan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organik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Na </w:t>
      </w:r>
      <w:r>
        <w:rPr>
          <w:rFonts w:ascii="Times New Roman" w:cs="Times New Roman" w:hAnsi="Times New Roman"/>
          <w:sz w:val="28"/>
          <w:szCs w:val="28"/>
          <w:lang w:val="en-US"/>
        </w:rPr>
        <w:t>metali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ta’sirlashganda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2,24 l(n.sh) </w:t>
      </w:r>
      <w:r>
        <w:rPr>
          <w:rFonts w:ascii="Times New Roman" w:cs="Times New Roman" w:hAnsi="Times New Roman"/>
          <w:sz w:val="28"/>
          <w:szCs w:val="28"/>
          <w:lang w:val="en-US"/>
        </w:rPr>
        <w:t>gaz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Noma’lum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aldegidning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formulasini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15.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72g </w:t>
      </w:r>
      <w:r>
        <w:rPr>
          <w:rFonts w:ascii="Times New Roman" w:cs="Times New Roman" w:hAnsi="Times New Roman"/>
          <w:sz w:val="28"/>
          <w:szCs w:val="28"/>
          <w:lang w:val="en-US"/>
        </w:rPr>
        <w:t>glukozaga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kumush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ammiakdagi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ta’sir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ettirilganda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cho‘</w:t>
      </w:r>
      <w:r>
        <w:rPr>
          <w:rFonts w:ascii="Times New Roman" w:cs="Times New Roman" w:hAnsi="Times New Roman"/>
          <w:sz w:val="28"/>
          <w:szCs w:val="28"/>
          <w:lang w:val="en-US"/>
        </w:rPr>
        <w:t>kma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massasini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>Orto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>nitrotoluolning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molyar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massasini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(g/mol)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17.   </w:t>
      </w:r>
      <w:r>
        <w:rPr>
          <w:rFonts w:ascii="Times New Roman" w:cs="Times New Roman" w:hAnsi="Times New Roman"/>
          <w:sz w:val="28"/>
          <w:szCs w:val="28"/>
          <w:lang w:val="en-US"/>
        </w:rPr>
        <w:t>Quyida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orasidan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amfoter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oksidlarni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W w:w="7881" w:type="dxa"/>
        <w:jc w:val="center"/>
        <w:tblLook w:val="04A0" w:firstRow="1" w:lastRow="0" w:firstColumn="1" w:lastColumn="0" w:noHBand="0" w:noVBand="1"/>
      </w:tblPr>
      <w:tblGrid>
        <w:gridCol w:w="2627"/>
        <w:gridCol w:w="2627"/>
        <w:gridCol w:w="2627"/>
      </w:tblGrid>
      <w:tr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BeO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>
        <w:tblPrEx/>
        <w:trPr>
          <w:trHeight w:val="1621" w:hRule="atLeast"/>
          <w:jc w:val="center"/>
        </w:trPr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ZnO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pPr w:leftFromText="180" w:rightFromText="180" w:topFromText="0" w:bottomFromText="0" w:vertAnchor="text" w:horzAnchor="page" w:tblpX="1996" w:tblpY="101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</w:tblGrid>
      <w:tr>
        <w:trPr>
          <w:trHeight w:val="526" w:hRule="atLeast"/>
        </w:trPr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526" w:hRule="atLeast"/>
        </w:trPr>
        <w:tc>
          <w:tcPr>
            <w:tcW w:w="379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18. 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Quyida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ma’lumotlarni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toʻgʻri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(A)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yoki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notoʻgʻri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(B)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ekanligini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katakchada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belgilang</w:t>
      </w:r>
      <w:r>
        <w:rPr>
          <w:rFonts w:ascii="Times New Roman" w:cs="Times New Roman" w:hAnsi="Times New Roman"/>
          <w:color w:val="040503"/>
          <w:sz w:val="28"/>
          <w:szCs w:val="28"/>
          <w:lang w:val="en-US"/>
        </w:rPr>
        <w:t>.</w:t>
      </w:r>
    </w:p>
    <w:tbl>
      <w:tblPr>
        <w:tblStyle w:val="style154"/>
        <w:tblW w:w="9919" w:type="dxa"/>
        <w:tblLook w:val="04A0" w:firstRow="1" w:lastRow="0" w:firstColumn="1" w:lastColumn="0" w:noHBand="0" w:noVBand="1"/>
      </w:tblPr>
      <w:tblGrid>
        <w:gridCol w:w="9919"/>
      </w:tblGrid>
      <w:tr>
        <w:trPr>
          <w:trHeight w:val="742" w:hRule="atLeast"/>
        </w:trPr>
        <w:tc>
          <w:tcPr>
            <w:tcW w:w="991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Ftor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kuchli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elektromanfiy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element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lganligi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uchun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u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barcha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  <w:lang w:val="en-US"/>
              </w:rPr>
              <w:t>birikmalarida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–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oksidlanish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darajasini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namoyon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qiladi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>
        <w:tblPrEx/>
        <w:trPr>
          <w:trHeight w:val="742" w:hRule="atLeast"/>
        </w:trPr>
        <w:tc>
          <w:tcPr>
            <w:tcW w:w="991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Xlor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9xil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oksidlanish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darajasini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namayon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qiladi</w:t>
            </w:r>
          </w:p>
        </w:tc>
      </w:tr>
      <w:tr>
        <w:tblPrEx/>
        <w:trPr>
          <w:trHeight w:val="742" w:hRule="atLeast"/>
        </w:trPr>
        <w:tc>
          <w:tcPr>
            <w:tcW w:w="991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3. Yod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sublimatsiyaga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uchraydi</w:t>
            </w:r>
          </w:p>
        </w:tc>
      </w:tr>
      <w:tr>
        <w:tblPrEx/>
        <w:trPr>
          <w:trHeight w:val="722" w:hRule="atLeast"/>
        </w:trPr>
        <w:tc>
          <w:tcPr>
            <w:tcW w:w="991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Bromidlarga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Cl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, F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, I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ta’sir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ettirilsa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Br</w:t>
            </w:r>
            <w:r>
              <w:rPr>
                <w:rFonts w:ascii="Times New Roman" w:cs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hosil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bo’ladi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>
        <w:tblPrEx/>
        <w:trPr>
          <w:trHeight w:val="742" w:hRule="atLeast"/>
        </w:trPr>
        <w:tc>
          <w:tcPr>
            <w:tcW w:w="991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Tabiatda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tarqalgan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galogen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bu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xlor</w:t>
            </w:r>
          </w:p>
        </w:tc>
      </w:tr>
      <w:tr>
        <w:tblPrEx/>
        <w:trPr>
          <w:trHeight w:val="742" w:hRule="atLeast"/>
        </w:trPr>
        <w:tc>
          <w:tcPr>
            <w:tcW w:w="991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Bromidlardan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bromni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olish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uchun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bromid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ionlari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tutgan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eritmalarni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elektroliz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yoki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kuchli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oksidlovchi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ta’sir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ettirib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olish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mumkin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>
      <w:pPr>
        <w:pStyle w:val="style0"/>
        <w:ind w:firstLine="284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ind w:firstLine="284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harflar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har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katakchaga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raqamlarini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yozishingiz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>).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313"/>
        <w:gridCol w:w="5448"/>
      </w:tblGrid>
      <w:tr>
        <w:trPr>
          <w:trHeight w:val="951" w:hRule="atLeast"/>
        </w:trPr>
        <w:tc>
          <w:tcPr>
            <w:tcW w:w="131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448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951" w:hRule="atLeast"/>
        </w:trPr>
        <w:tc>
          <w:tcPr>
            <w:tcW w:w="131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448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359" w:hRule="atLeast"/>
        </w:trPr>
        <w:tc>
          <w:tcPr>
            <w:tcW w:w="6761" w:type="dxa"/>
            <w:gridSpan w:val="2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19.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Mis </w:t>
      </w:r>
      <w:r>
        <w:rPr>
          <w:rFonts w:ascii="Times New Roman" w:cs="Times New Roman" w:hAnsi="Times New Roman"/>
          <w:sz w:val="28"/>
          <w:szCs w:val="28"/>
          <w:lang w:val="en-US"/>
        </w:rPr>
        <w:t>sulfatning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2M li 100 ml </w:t>
      </w:r>
      <w:r>
        <w:rPr>
          <w:rFonts w:ascii="Times New Roman" w:cs="Times New Roman" w:hAnsi="Times New Roman"/>
          <w:sz w:val="28"/>
          <w:szCs w:val="28"/>
          <w:lang w:val="en-US"/>
        </w:rPr>
        <w:t>eritmasiga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temir </w:t>
      </w:r>
      <w:r>
        <w:rPr>
          <w:rFonts w:ascii="Times New Roman" w:cs="Times New Roman" w:hAnsi="Times New Roman"/>
          <w:sz w:val="28"/>
          <w:szCs w:val="28"/>
          <w:lang w:val="en-US"/>
        </w:rPr>
        <w:t>plastinka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tushirilgan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Eritmadagi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mis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liq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qaytarilgandan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so‘</w:t>
      </w:r>
      <w:r>
        <w:rPr>
          <w:rFonts w:ascii="Times New Roman" w:cs="Times New Roman" w:hAnsi="Times New Roman"/>
          <w:sz w:val="28"/>
          <w:szCs w:val="28"/>
          <w:lang w:val="en-US"/>
        </w:rPr>
        <w:t>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chiqarib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>Plastinka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gram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  <w:lang w:val="en-US"/>
        </w:rPr>
        <w:t>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zgargani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kamayganligini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>
        <w:tblPrEx/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20. </w:t>
      </w:r>
      <w:r>
        <w:rPr>
          <w:rFonts w:ascii="Times New Roman" w:cs="Times New Roman" w:hAnsi="Times New Roman"/>
          <w:sz w:val="28"/>
          <w:szCs w:val="28"/>
          <w:lang w:val="en-US"/>
        </w:rPr>
        <w:t>Temirning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valentli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birikmalari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reaktiv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sariq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hisoblanadi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Temir (III) </w:t>
      </w:r>
      <w:r>
        <w:rPr>
          <w:rFonts w:ascii="Times New Roman" w:cs="Times New Roman" w:hAnsi="Times New Roman"/>
          <w:sz w:val="28"/>
          <w:szCs w:val="28"/>
          <w:lang w:val="en-US"/>
        </w:rPr>
        <w:t>nitrat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eritmasiga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sariq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</w:t>
      </w:r>
      <w:r>
        <w:rPr>
          <w:rFonts w:ascii="Times New Roman" w:cs="Times New Roman" w:hAnsi="Times New Roman"/>
          <w:sz w:val="28"/>
          <w:szCs w:val="28"/>
          <w:lang w:val="en-US"/>
        </w:rPr>
        <w:t>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shildi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Hosil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kompleks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birikmaning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 mol </w:t>
      </w:r>
      <w:r>
        <w:rPr>
          <w:rFonts w:ascii="Times New Roman" w:cs="Times New Roman" w:hAnsi="Times New Roman"/>
          <w:sz w:val="28"/>
          <w:szCs w:val="28"/>
          <w:lang w:val="en-US"/>
        </w:rPr>
        <w:t>miqdoridagi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atomlar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sonini</w:t>
      </w: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N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Calibri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>Yechish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-77"/>
        <w:tblW w:w="0" w:type="auto"/>
        <w:tblLook w:val="04A0" w:firstRow="1" w:lastRow="0" w:firstColumn="1" w:lastColumn="0" w:noHBand="0" w:noVBand="1"/>
      </w:tblPr>
      <w:tblGrid>
        <w:gridCol w:w="9067"/>
      </w:tblGrid>
      <w:tr>
        <w:trPr>
          <w:trHeight w:val="526" w:hRule="atLeast"/>
        </w:trPr>
        <w:tc>
          <w:tcPr>
            <w:tcW w:w="906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z-Latn-UZ"/>
        </w:rPr>
      </w:pPr>
    </w:p>
    <w:p>
      <w:pPr>
        <w:pStyle w:val="style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Jami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ball:_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_________________________________________________________</w:t>
      </w:r>
    </w:p>
    <w:p>
      <w:pPr>
        <w:pStyle w:val="style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Kom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is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iya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raisi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Imtihon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oluvchi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Assistent:_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</w:p>
    <w:sectPr>
      <w:headerReference w:type="default" r:id="rId3"/>
      <w:pgSz w:w="11906" w:h="16838" w:orient="portrait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Times New Roman" w:hAnsi="Times New Roman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5032375</wp:posOffset>
              </wp:positionH>
              <wp:positionV relativeFrom="paragraph">
                <wp:posOffset>-22225</wp:posOffset>
              </wp:positionV>
              <wp:extent cx="548004" cy="1045844"/>
              <wp:effectExtent l="180658" t="0" r="262572" b="0"/>
              <wp:wrapNone/>
              <wp:docPr id="4097" name="Надпись 17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5480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96.25pt;margin-top:-1.75pt;width:43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17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0.0pt;margin-top:0.6pt;width:153.05pt;height:132.0pt;z-index:-2147483644;mso-position-horizontal:right;mso-position-horizontal-relative:margin;mso-position-vertical-relative:text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</w:t>
    </w:r>
    <w:r>
      <w:rPr>
        <w:rFonts w:ascii="Times New Roman" w:hAnsi="Times New Roman"/>
        <w:sz w:val="32"/>
        <w:szCs w:val="32"/>
      </w:rPr>
      <w:t>_________</w:t>
    </w:r>
  </w:p>
  <w:p>
    <w:pPr>
      <w:pStyle w:val="style31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B46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Default"/>
    <w:next w:val="style4097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uiPriority w:val="99"/>
    <w:pPr>
      <w:spacing w:lineRule="auto" w:line="240"/>
    </w:pPr>
    <w:rPr>
      <w:sz w:val="20"/>
      <w:szCs w:val="20"/>
    </w:rPr>
  </w:style>
  <w:style w:type="character" w:customStyle="1" w:styleId="style4098">
    <w:name w:val="Текст примечания Знак"/>
    <w:basedOn w:val="style65"/>
    <w:next w:val="style4098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Тема примечания Знак"/>
    <w:basedOn w:val="style4098"/>
    <w:next w:val="style4099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Верхний колонтитул Знак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Нижний колонтитул Знак"/>
    <w:basedOn w:val="style65"/>
    <w:next w:val="style4102"/>
    <w:link w:val="style32"/>
    <w:uiPriority w:val="99"/>
  </w:style>
  <w:style w:type="paragraph" w:styleId="style180">
    <w:name w:val="Quote"/>
    <w:basedOn w:val="style0"/>
    <w:next w:val="style0"/>
    <w:link w:val="style4103"/>
    <w:qFormat/>
    <w:uiPriority w:val="2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style4103">
    <w:name w:val="Цитата 2 Знак"/>
    <w:basedOn w:val="style65"/>
    <w:next w:val="style4103"/>
    <w:link w:val="style180"/>
    <w:uiPriority w:val="29"/>
    <w:rPr>
      <w:i/>
      <w:iCs/>
      <w:color w:val="40404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F0B4-8A38-4750-8C70-63B79CCD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645</Words>
  <Pages>8</Pages>
  <Characters>6826</Characters>
  <Application>WPS Office</Application>
  <DocSecurity>0</DocSecurity>
  <Paragraphs>285</Paragraphs>
  <ScaleCrop>false</ScaleCrop>
  <LinksUpToDate>false</LinksUpToDate>
  <CharactersWithSpaces>7422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2025-06-09T10:54:00Z</dcterms:created>
  <dc:creator>User</dc:creator>
  <lastModifiedBy>2209116AG</lastModifiedBy>
  <dcterms:modified xsi:type="dcterms:W3CDTF">2025-06-09T14:06:34Z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eacfa4b9ecf045f79ee030fac2bcad19</vt:lpwstr>
  </property>
</Properties>
</file>